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D2D46"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w:t>
      </w:r>
      <w:r w:rsidR="007F27B5">
        <w:rPr>
          <w:rFonts w:ascii="宋体" w:hAnsi="宋体" w:hint="eastAsia"/>
          <w:color w:val="FF0000"/>
          <w:sz w:val="36"/>
          <w:szCs w:val="30"/>
        </w:rPr>
        <w:t>项目</w:t>
      </w:r>
      <w:r w:rsidR="005127C0">
        <w:rPr>
          <w:rFonts w:ascii="宋体" w:hAnsi="宋体" w:hint="eastAsia"/>
          <w:color w:val="FF0000"/>
          <w:sz w:val="36"/>
          <w:szCs w:val="30"/>
        </w:rPr>
        <w:t>编号：20180023</w:t>
      </w:r>
      <w:r w:rsidR="00415419" w:rsidRPr="000A4061">
        <w:rPr>
          <w:rFonts w:ascii="宋体" w:hAnsi="宋体"/>
          <w:color w:val="FF0000"/>
          <w:sz w:val="36"/>
          <w:szCs w:val="30"/>
        </w:rPr>
        <w:t xml:space="preserve"> </w:t>
      </w:r>
    </w:p>
    <w:p w:rsidR="001E0411" w:rsidRPr="005127C0"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510B63" w:rsidRPr="005127C0">
        <w:rPr>
          <w:rFonts w:ascii="宋体" w:hAnsi="宋体" w:hint="eastAsia"/>
          <w:color w:val="FF0000"/>
          <w:sz w:val="36"/>
          <w:szCs w:val="30"/>
        </w:rPr>
        <w:t>PVC地板清洗保养</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510B63"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510B63">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50EBE" w:rsidP="001E0411">
      <w:pPr>
        <w:pStyle w:val="10"/>
        <w:tabs>
          <w:tab w:val="right" w:leader="dot" w:pos="8306"/>
        </w:tabs>
        <w:spacing w:line="480" w:lineRule="auto"/>
        <w:rPr>
          <w:rFonts w:ascii="宋体" w:hAnsi="宋体"/>
          <w:szCs w:val="22"/>
          <w:lang w:eastAsia="en-US" w:bidi="en-US"/>
        </w:rPr>
      </w:pPr>
      <w:r w:rsidRPr="00C50EBE">
        <w:rPr>
          <w:rFonts w:ascii="宋体" w:hAnsi="宋体" w:hint="eastAsia"/>
        </w:rPr>
        <w:fldChar w:fldCharType="begin"/>
      </w:r>
      <w:r w:rsidR="001E0411" w:rsidRPr="009318B0">
        <w:rPr>
          <w:rFonts w:ascii="宋体" w:hAnsi="宋体" w:hint="eastAsia"/>
        </w:rPr>
        <w:instrText xml:space="preserve">TOC \o "1-2" \h \u </w:instrText>
      </w:r>
      <w:r w:rsidRPr="00C50EB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50EB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w:t>
        </w:r>
        <w:r w:rsidR="00D2578C">
          <w:rPr>
            <w:rFonts w:ascii="宋体" w:hAnsi="宋体" w:hint="eastAsia"/>
            <w:szCs w:val="22"/>
            <w:lang w:bidi="en-US"/>
          </w:rPr>
          <w:t xml:space="preserve">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50EB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82362C">
          <w:rPr>
            <w:rFonts w:ascii="宋体" w:hAnsi="宋体" w:hint="eastAsia"/>
            <w:szCs w:val="22"/>
            <w:lang w:bidi="en-US"/>
          </w:rPr>
          <w:t>6</w:t>
        </w:r>
      </w:hyperlink>
    </w:p>
    <w:p w:rsidR="001E0411" w:rsidRPr="009318B0" w:rsidRDefault="00C50EB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82362C">
          <w:rPr>
            <w:rFonts w:ascii="宋体" w:hAnsi="宋体" w:hint="eastAsia"/>
            <w:szCs w:val="22"/>
            <w:lang w:bidi="en-US"/>
          </w:rPr>
          <w:t>7</w:t>
        </w:r>
      </w:hyperlink>
    </w:p>
    <w:p w:rsidR="001E0411" w:rsidRPr="009318B0" w:rsidRDefault="00C50EB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82362C">
          <w:rPr>
            <w:rFonts w:ascii="宋体" w:hAnsi="宋体" w:hint="eastAsia"/>
            <w:szCs w:val="22"/>
            <w:lang w:bidi="en-US"/>
          </w:rPr>
          <w:t>8</w:t>
        </w:r>
      </w:hyperlink>
    </w:p>
    <w:p w:rsidR="001E0411" w:rsidRPr="009318B0" w:rsidRDefault="00C50EBE"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82362C">
          <w:rPr>
            <w:rFonts w:ascii="宋体" w:hAnsi="宋体" w:hint="eastAsia"/>
            <w:szCs w:val="22"/>
            <w:lang w:bidi="en-US"/>
          </w:rPr>
          <w:t>2</w:t>
        </w:r>
      </w:hyperlink>
    </w:p>
    <w:p w:rsidR="001E0411" w:rsidRPr="009318B0" w:rsidRDefault="00C50EBE"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82362C">
          <w:rPr>
            <w:rFonts w:ascii="宋体" w:hAnsi="宋体" w:hint="eastAsia"/>
            <w:szCs w:val="22"/>
            <w:lang w:bidi="en-US"/>
          </w:rPr>
          <w:t>16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50EBE"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D2578C">
        <w:rPr>
          <w:rFonts w:hint="eastAsia"/>
          <w:sz w:val="36"/>
          <w:szCs w:val="30"/>
        </w:rPr>
        <w:t>磋商</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5127C0" w:rsidRPr="005127C0">
        <w:rPr>
          <w:rFonts w:ascii="宋体" w:hAnsi="宋体" w:hint="eastAsia"/>
          <w:b/>
          <w:color w:val="FF0000"/>
          <w:sz w:val="30"/>
          <w:szCs w:val="30"/>
        </w:rPr>
        <w:t>PVC地板清洗保养</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5127C0" w:rsidRDefault="00510B63" w:rsidP="00E574BA">
            <w:pPr>
              <w:widowControl/>
              <w:jc w:val="center"/>
              <w:rPr>
                <w:color w:val="FF0000"/>
                <w:sz w:val="36"/>
                <w:szCs w:val="36"/>
              </w:rPr>
            </w:pPr>
            <w:r w:rsidRPr="005127C0">
              <w:rPr>
                <w:rFonts w:ascii="宋体" w:hAnsi="宋体" w:hint="eastAsia"/>
                <w:b/>
                <w:color w:val="FF0000"/>
                <w:sz w:val="30"/>
                <w:szCs w:val="30"/>
              </w:rPr>
              <w:t>PVC地板清洗保养</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F13774" w:rsidP="006C5282">
            <w:pPr>
              <w:widowControl/>
              <w:jc w:val="center"/>
              <w:rPr>
                <w:rFonts w:ascii="宋体" w:hAnsi="宋体" w:cs="宋体"/>
                <w:color w:val="FF0000"/>
                <w:kern w:val="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510B63" w:rsidRDefault="00F13774" w:rsidP="00E574BA">
            <w:pPr>
              <w:widowControl/>
              <w:jc w:val="center"/>
              <w:rPr>
                <w:rFonts w:ascii="宋体" w:hAnsi="宋体" w:cs="宋体"/>
                <w:color w:val="FF0000"/>
                <w:kern w:val="0"/>
                <w:sz w:val="28"/>
                <w:szCs w:val="28"/>
              </w:rPr>
            </w:pPr>
            <w:r w:rsidRPr="00510B63">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10B63" w:rsidRPr="009318B0" w:rsidRDefault="00510B63" w:rsidP="001E0411">
      <w:pPr>
        <w:spacing w:line="480" w:lineRule="exact"/>
        <w:ind w:firstLineChars="200" w:firstLine="480"/>
        <w:rPr>
          <w:rFonts w:ascii="宋体" w:hAnsi="宋体"/>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5127C0">
        <w:rPr>
          <w:rFonts w:asciiTheme="minorEastAsia" w:eastAsiaTheme="minorEastAsia" w:hAnsiTheme="minorEastAsia" w:hint="eastAsia"/>
          <w:color w:val="FF0000"/>
          <w:sz w:val="24"/>
        </w:rPr>
        <w:t>201</w:t>
      </w:r>
      <w:r w:rsidR="00AA45C0" w:rsidRPr="005127C0">
        <w:rPr>
          <w:rFonts w:asciiTheme="minorEastAsia" w:eastAsiaTheme="minorEastAsia" w:hAnsiTheme="minorEastAsia" w:hint="eastAsia"/>
          <w:color w:val="FF0000"/>
          <w:sz w:val="24"/>
        </w:rPr>
        <w:t>8</w:t>
      </w:r>
      <w:r w:rsidRPr="005127C0">
        <w:rPr>
          <w:rFonts w:asciiTheme="minorEastAsia" w:eastAsiaTheme="minorEastAsia" w:hAnsiTheme="minorEastAsia" w:hint="eastAsia"/>
          <w:color w:val="FF0000"/>
          <w:sz w:val="24"/>
        </w:rPr>
        <w:t xml:space="preserve">年 </w:t>
      </w:r>
      <w:r w:rsidR="005127C0">
        <w:rPr>
          <w:rFonts w:asciiTheme="minorEastAsia" w:eastAsiaTheme="minorEastAsia" w:hAnsiTheme="minorEastAsia" w:hint="eastAsia"/>
          <w:color w:val="FF0000"/>
          <w:sz w:val="24"/>
        </w:rPr>
        <w:t>4</w:t>
      </w:r>
      <w:r w:rsidR="00AA45C0" w:rsidRPr="005127C0">
        <w:rPr>
          <w:rFonts w:asciiTheme="minorEastAsia" w:eastAsiaTheme="minorEastAsia" w:hAnsiTheme="minorEastAsia" w:hint="eastAsia"/>
          <w:color w:val="FF0000"/>
          <w:sz w:val="24"/>
        </w:rPr>
        <w:t xml:space="preserve"> </w:t>
      </w:r>
      <w:r w:rsidRPr="005127C0">
        <w:rPr>
          <w:rFonts w:asciiTheme="minorEastAsia" w:eastAsiaTheme="minorEastAsia" w:hAnsiTheme="minorEastAsia" w:hint="eastAsia"/>
          <w:color w:val="FF0000"/>
          <w:sz w:val="24"/>
        </w:rPr>
        <w:t>月</w:t>
      </w:r>
      <w:r w:rsidR="00BB2A0D">
        <w:rPr>
          <w:rFonts w:asciiTheme="minorEastAsia" w:eastAsiaTheme="minorEastAsia" w:hAnsiTheme="minorEastAsia" w:hint="eastAsia"/>
          <w:color w:val="FF0000"/>
          <w:sz w:val="24"/>
        </w:rPr>
        <w:t>20</w:t>
      </w:r>
      <w:r w:rsidRPr="005127C0">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lastRenderedPageBreak/>
        <w:t>1、报名时提供</w:t>
      </w:r>
      <w:r w:rsidR="000C433B">
        <w:rPr>
          <w:rFonts w:asciiTheme="minorEastAsia" w:eastAsiaTheme="minorEastAsia" w:hAnsiTheme="minorEastAsia" w:hint="eastAsia"/>
          <w:sz w:val="24"/>
        </w:rPr>
        <w:t>中标人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r w:rsidR="00757681">
        <w:rPr>
          <w:rFonts w:asciiTheme="minorEastAsia" w:eastAsiaTheme="minorEastAsia" w:hAnsiTheme="minorEastAsia" w:hint="eastAsia"/>
          <w:sz w:val="24"/>
        </w:rPr>
        <w:t>）</w:t>
      </w:r>
    </w:p>
    <w:p w:rsidR="001E0411" w:rsidRPr="005127C0" w:rsidRDefault="001E0411" w:rsidP="005127C0">
      <w:pPr>
        <w:snapToGrid w:val="0"/>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（五）提交响应文件截止时间：201</w:t>
      </w:r>
      <w:r w:rsidR="00AA45C0" w:rsidRPr="005127C0">
        <w:rPr>
          <w:rFonts w:asciiTheme="minorEastAsia" w:eastAsiaTheme="minorEastAsia" w:hAnsiTheme="minorEastAsia" w:hint="eastAsia"/>
          <w:b/>
          <w:color w:val="FF0000"/>
          <w:sz w:val="24"/>
        </w:rPr>
        <w:t>8</w:t>
      </w:r>
      <w:r w:rsidRPr="005127C0">
        <w:rPr>
          <w:rFonts w:asciiTheme="minorEastAsia" w:eastAsiaTheme="minorEastAsia" w:hAnsiTheme="minorEastAsia" w:hint="eastAsia"/>
          <w:b/>
          <w:color w:val="FF0000"/>
          <w:sz w:val="24"/>
        </w:rPr>
        <w:t>年</w:t>
      </w:r>
      <w:r w:rsidR="005127C0" w:rsidRPr="005127C0">
        <w:rPr>
          <w:rFonts w:asciiTheme="minorEastAsia" w:eastAsiaTheme="minorEastAsia" w:hAnsiTheme="minorEastAsia" w:hint="eastAsia"/>
          <w:b/>
          <w:color w:val="FF0000"/>
          <w:sz w:val="24"/>
        </w:rPr>
        <w:t>4月</w:t>
      </w:r>
      <w:r w:rsidR="00BB2A0D">
        <w:rPr>
          <w:rFonts w:asciiTheme="minorEastAsia" w:eastAsiaTheme="minorEastAsia" w:hAnsiTheme="minorEastAsia" w:hint="eastAsia"/>
          <w:b/>
          <w:color w:val="FF0000"/>
          <w:sz w:val="24"/>
        </w:rPr>
        <w:t>20</w:t>
      </w:r>
      <w:r w:rsidRPr="005127C0">
        <w:rPr>
          <w:rFonts w:asciiTheme="minorEastAsia" w:eastAsiaTheme="minorEastAsia" w:hAnsiTheme="minorEastAsia" w:hint="eastAsia"/>
          <w:b/>
          <w:color w:val="FF0000"/>
          <w:sz w:val="24"/>
        </w:rPr>
        <w:t>日北京时间</w:t>
      </w:r>
      <w:r w:rsidR="005127C0" w:rsidRPr="005127C0">
        <w:rPr>
          <w:rFonts w:asciiTheme="minorEastAsia" w:eastAsiaTheme="minorEastAsia" w:hAnsiTheme="minorEastAsia" w:hint="eastAsia"/>
          <w:b/>
          <w:color w:val="FF0000"/>
          <w:sz w:val="24"/>
        </w:rPr>
        <w:t>17</w:t>
      </w:r>
      <w:r w:rsidRPr="005127C0">
        <w:rPr>
          <w:rFonts w:asciiTheme="minorEastAsia" w:eastAsiaTheme="minorEastAsia" w:hAnsiTheme="minorEastAsia" w:hint="eastAsia"/>
          <w:b/>
          <w:color w:val="FF0000"/>
          <w:sz w:val="24"/>
        </w:rPr>
        <w:t>：</w:t>
      </w:r>
      <w:r w:rsidR="005127C0" w:rsidRPr="005127C0">
        <w:rPr>
          <w:rFonts w:asciiTheme="minorEastAsia" w:eastAsiaTheme="minorEastAsia" w:hAnsiTheme="minorEastAsia" w:hint="eastAsia"/>
          <w:b/>
          <w:color w:val="FF0000"/>
          <w:sz w:val="24"/>
        </w:rPr>
        <w:t>30</w:t>
      </w:r>
    </w:p>
    <w:p w:rsidR="001E0411" w:rsidRPr="005127C0" w:rsidRDefault="001E0411" w:rsidP="005127C0">
      <w:pPr>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（六）</w:t>
      </w:r>
      <w:r w:rsidR="00CD2D46" w:rsidRPr="005127C0">
        <w:rPr>
          <w:rFonts w:asciiTheme="minorEastAsia" w:eastAsiaTheme="minorEastAsia" w:hAnsiTheme="minorEastAsia" w:hint="eastAsia"/>
          <w:b/>
          <w:color w:val="FF0000"/>
          <w:sz w:val="24"/>
        </w:rPr>
        <w:t>磋商</w:t>
      </w:r>
      <w:r w:rsidRPr="005127C0">
        <w:rPr>
          <w:rFonts w:asciiTheme="minorEastAsia" w:eastAsiaTheme="minorEastAsia" w:hAnsiTheme="minorEastAsia" w:hint="eastAsia"/>
          <w:b/>
          <w:color w:val="FF0000"/>
          <w:sz w:val="24"/>
        </w:rPr>
        <w:t>开始时间：</w:t>
      </w:r>
      <w:r w:rsidR="00AA45C0" w:rsidRPr="005127C0">
        <w:rPr>
          <w:rFonts w:asciiTheme="minorEastAsia" w:eastAsiaTheme="minorEastAsia" w:hAnsiTheme="minorEastAsia" w:hint="eastAsia"/>
          <w:b/>
          <w:color w:val="FF0000"/>
          <w:sz w:val="24"/>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5127C0">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510B63">
        <w:rPr>
          <w:rFonts w:ascii="宋体" w:hAnsi="宋体" w:hint="eastAsia"/>
          <w:sz w:val="28"/>
          <w:szCs w:val="28"/>
        </w:rPr>
        <w:t>：</w:t>
      </w:r>
      <w:r w:rsidR="00510B63">
        <w:rPr>
          <w:rFonts w:ascii="宋体" w:hAnsi="宋体" w:hint="eastAsia"/>
          <w:b/>
          <w:sz w:val="30"/>
          <w:szCs w:val="30"/>
        </w:rPr>
        <w:t>PVC地板清洗保养</w:t>
      </w:r>
    </w:p>
    <w:p w:rsidR="009918DF" w:rsidRPr="009919F9"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r w:rsidR="00102D38">
        <w:rPr>
          <w:rFonts w:ascii="宋体" w:hAnsi="宋体" w:hint="eastAsia"/>
          <w:sz w:val="28"/>
          <w:szCs w:val="28"/>
        </w:rPr>
        <w:t>PVC地板</w:t>
      </w:r>
      <w:r w:rsidR="00FF7C43">
        <w:rPr>
          <w:rFonts w:ascii="方正仿宋_GBK" w:eastAsia="方正仿宋_GBK" w:hint="eastAsia"/>
          <w:sz w:val="28"/>
          <w:szCs w:val="28"/>
        </w:rPr>
        <w:t>清洗打蜡保养,</w:t>
      </w:r>
      <w:r w:rsidR="00102D38">
        <w:rPr>
          <w:rFonts w:ascii="宋体" w:hAnsi="宋体" w:hint="eastAsia"/>
          <w:sz w:val="28"/>
          <w:szCs w:val="28"/>
        </w:rPr>
        <w:t>面积</w:t>
      </w:r>
      <w:r w:rsidR="00102D38">
        <w:rPr>
          <w:rFonts w:ascii="方正仿宋_GBK" w:eastAsia="方正仿宋_GBK" w:hint="eastAsia"/>
          <w:sz w:val="28"/>
          <w:szCs w:val="28"/>
        </w:rPr>
        <w:t>12780㎡</w:t>
      </w:r>
      <w:r w:rsidR="00CD2D46" w:rsidRPr="009919F9">
        <w:rPr>
          <w:rFonts w:asciiTheme="minorEastAsia" w:eastAsiaTheme="minorEastAsia" w:hAnsiTheme="minorEastAsia" w:hint="eastAsia"/>
          <w:sz w:val="28"/>
          <w:szCs w:val="28"/>
        </w:rPr>
        <w:t>。</w:t>
      </w:r>
    </w:p>
    <w:p w:rsidR="00CD2D46" w:rsidRPr="005127C0" w:rsidRDefault="00FF7C43" w:rsidP="002D76CA">
      <w:pPr>
        <w:pStyle w:val="ab"/>
        <w:numPr>
          <w:ilvl w:val="0"/>
          <w:numId w:val="23"/>
        </w:numPr>
        <w:spacing w:line="500" w:lineRule="exact"/>
        <w:ind w:firstLineChars="0"/>
        <w:rPr>
          <w:rFonts w:ascii="宋体" w:hAnsi="宋体"/>
          <w:color w:val="FF0000"/>
        </w:rPr>
      </w:pPr>
      <w:r w:rsidRPr="005127C0">
        <w:rPr>
          <w:rFonts w:ascii="宋体" w:hAnsi="宋体" w:hint="eastAsia"/>
          <w:color w:val="FF0000"/>
          <w:sz w:val="28"/>
          <w:szCs w:val="28"/>
        </w:rPr>
        <w:t>服务</w:t>
      </w:r>
      <w:r w:rsidR="00D231C9" w:rsidRPr="005127C0">
        <w:rPr>
          <w:rFonts w:ascii="宋体" w:hAnsi="宋体" w:hint="eastAsia"/>
          <w:color w:val="FF0000"/>
          <w:sz w:val="28"/>
          <w:szCs w:val="28"/>
        </w:rPr>
        <w:t>要</w:t>
      </w:r>
      <w:r w:rsidR="00D231C9" w:rsidRPr="005127C0">
        <w:rPr>
          <w:rFonts w:ascii="宋体" w:hAnsi="宋体" w:hint="eastAsia"/>
          <w:color w:val="FF0000"/>
        </w:rPr>
        <w:t>求</w:t>
      </w:r>
    </w:p>
    <w:p w:rsidR="000C433B" w:rsidRPr="005127C0" w:rsidRDefault="000C433B"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（一）基本要求</w:t>
      </w:r>
    </w:p>
    <w:p w:rsidR="009919F9" w:rsidRPr="005127C0" w:rsidRDefault="002D76CA" w:rsidP="00FF7C43">
      <w:pPr>
        <w:spacing w:line="500" w:lineRule="exact"/>
        <w:ind w:firstLineChars="150" w:firstLine="420"/>
        <w:rPr>
          <w:rFonts w:ascii="宋体" w:hAnsi="宋体" w:cs="Times New Roman"/>
          <w:color w:val="FF0000"/>
          <w:sz w:val="28"/>
          <w:szCs w:val="28"/>
        </w:rPr>
      </w:pPr>
      <w:r w:rsidRPr="005127C0">
        <w:rPr>
          <w:rFonts w:ascii="宋体" w:hAnsi="宋体" w:cs="Times New Roman" w:hint="eastAsia"/>
          <w:color w:val="FF0000"/>
          <w:sz w:val="28"/>
          <w:szCs w:val="28"/>
        </w:rPr>
        <w:t>1.</w:t>
      </w:r>
      <w:r w:rsidR="000C433B" w:rsidRPr="005127C0">
        <w:rPr>
          <w:rFonts w:ascii="宋体" w:hAnsi="宋体" w:cs="Times New Roman" w:hint="eastAsia"/>
          <w:color w:val="FF0000"/>
          <w:sz w:val="28"/>
          <w:szCs w:val="28"/>
        </w:rPr>
        <w:t>中标人</w:t>
      </w:r>
      <w:r w:rsidR="00FF7C43" w:rsidRPr="005127C0">
        <w:rPr>
          <w:rFonts w:ascii="宋体" w:hAnsi="宋体" w:cs="Times New Roman" w:hint="eastAsia"/>
          <w:color w:val="FF0000"/>
          <w:sz w:val="28"/>
          <w:szCs w:val="28"/>
        </w:rPr>
        <w:t>须在2个月内完成PVC地板清洗打蜡保养工作</w:t>
      </w:r>
      <w:r w:rsidR="00FF7C43" w:rsidRPr="005127C0">
        <w:rPr>
          <w:rFonts w:ascii="方正仿宋_GBK" w:eastAsia="方正仿宋_GBK" w:hint="eastAsia"/>
          <w:color w:val="FF0000"/>
          <w:sz w:val="28"/>
          <w:szCs w:val="28"/>
        </w:rPr>
        <w:t>。</w:t>
      </w:r>
    </w:p>
    <w:p w:rsidR="00FF7C43" w:rsidRPr="005127C0" w:rsidRDefault="00FF7C43"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2.每天工作时间9：00至21：00,</w:t>
      </w:r>
      <w:r w:rsidR="00B31830" w:rsidRPr="005127C0">
        <w:rPr>
          <w:rFonts w:ascii="宋体" w:hAnsi="宋体" w:hint="eastAsia"/>
          <w:color w:val="FF0000"/>
          <w:sz w:val="28"/>
          <w:szCs w:val="28"/>
        </w:rPr>
        <w:t xml:space="preserve"> 视</w:t>
      </w:r>
      <w:r w:rsidRPr="005127C0">
        <w:rPr>
          <w:rFonts w:ascii="宋体" w:hAnsi="宋体" w:hint="eastAsia"/>
          <w:color w:val="FF0000"/>
          <w:sz w:val="28"/>
          <w:szCs w:val="28"/>
        </w:rPr>
        <w:t>具体区域现场情况而定。</w:t>
      </w:r>
    </w:p>
    <w:p w:rsidR="000C433B" w:rsidRPr="005127C0" w:rsidRDefault="00FF7C43"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3.工作区域的物品及仪器设备搬离</w:t>
      </w:r>
      <w:r w:rsidR="000C433B" w:rsidRPr="005127C0">
        <w:rPr>
          <w:rFonts w:ascii="宋体" w:hAnsi="宋体" w:hint="eastAsia"/>
          <w:color w:val="FF0000"/>
          <w:sz w:val="28"/>
          <w:szCs w:val="28"/>
        </w:rPr>
        <w:t>、</w:t>
      </w:r>
      <w:r w:rsidRPr="005127C0">
        <w:rPr>
          <w:rFonts w:ascii="宋体" w:hAnsi="宋体" w:hint="eastAsia"/>
          <w:color w:val="FF0000"/>
          <w:sz w:val="28"/>
          <w:szCs w:val="28"/>
        </w:rPr>
        <w:t>还原由</w:t>
      </w:r>
      <w:r w:rsidR="000C433B" w:rsidRPr="005127C0">
        <w:rPr>
          <w:rFonts w:ascii="宋体" w:hAnsi="宋体" w:hint="eastAsia"/>
          <w:color w:val="FF0000"/>
          <w:sz w:val="28"/>
          <w:szCs w:val="28"/>
        </w:rPr>
        <w:t>中标人</w:t>
      </w:r>
      <w:r w:rsidRPr="005127C0">
        <w:rPr>
          <w:rFonts w:ascii="宋体" w:hAnsi="宋体" w:hint="eastAsia"/>
          <w:color w:val="FF0000"/>
          <w:sz w:val="28"/>
          <w:szCs w:val="28"/>
        </w:rPr>
        <w:t>负责。</w:t>
      </w:r>
    </w:p>
    <w:p w:rsidR="000C433B" w:rsidRPr="005127C0" w:rsidRDefault="000C433B"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4.PVC地板清洗保养后，能充分展现其外观及自然光泽度。</w:t>
      </w:r>
    </w:p>
    <w:p w:rsidR="000C433B" w:rsidRPr="005127C0" w:rsidRDefault="000C433B" w:rsidP="000C433B">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5.</w:t>
      </w:r>
      <w:r w:rsidRPr="005127C0">
        <w:rPr>
          <w:rFonts w:hint="eastAsia"/>
          <w:color w:val="FF0000"/>
        </w:rPr>
        <w:t xml:space="preserve"> </w:t>
      </w:r>
      <w:r w:rsidRPr="005127C0">
        <w:rPr>
          <w:rFonts w:ascii="宋体" w:hAnsi="宋体" w:hint="eastAsia"/>
          <w:color w:val="FF0000"/>
          <w:sz w:val="28"/>
          <w:szCs w:val="28"/>
        </w:rPr>
        <w:t>避免甲苯之类的高浓度溶剂及强酸、强碱溶液倾倒于地板表面，避免使用不适当的工具和锐器刮铲或损伤地板表面。</w:t>
      </w:r>
    </w:p>
    <w:p w:rsidR="000C433B" w:rsidRPr="005127C0" w:rsidRDefault="000C433B" w:rsidP="000C433B">
      <w:pPr>
        <w:pStyle w:val="ab"/>
        <w:spacing w:line="500" w:lineRule="exact"/>
        <w:ind w:firstLineChars="150"/>
        <w:rPr>
          <w:color w:val="FF0000"/>
          <w:spacing w:val="-12"/>
          <w:sz w:val="377"/>
          <w:szCs w:val="377"/>
        </w:rPr>
      </w:pPr>
      <w:r w:rsidRPr="005127C0">
        <w:rPr>
          <w:rFonts w:ascii="宋体" w:hAnsi="宋体" w:hint="eastAsia"/>
          <w:color w:val="FF0000"/>
          <w:sz w:val="28"/>
          <w:szCs w:val="28"/>
        </w:rPr>
        <w:t>6.</w:t>
      </w:r>
      <w:r w:rsidR="00B31830" w:rsidRPr="005127C0">
        <w:rPr>
          <w:rFonts w:hint="eastAsia"/>
          <w:color w:val="FF0000"/>
          <w:sz w:val="28"/>
          <w:szCs w:val="28"/>
        </w:rPr>
        <w:t>绝对禁止使用坚硬、粗糙的清洁用具</w:t>
      </w:r>
      <w:r w:rsidRPr="005127C0">
        <w:rPr>
          <w:rFonts w:hint="eastAsia"/>
          <w:color w:val="FF0000"/>
          <w:sz w:val="28"/>
          <w:szCs w:val="28"/>
        </w:rPr>
        <w:t>。</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（二）其他要求</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1.</w:t>
      </w:r>
      <w:r w:rsidR="000C433B" w:rsidRPr="005127C0">
        <w:rPr>
          <w:rFonts w:ascii="宋体" w:hAnsi="宋体" w:cs="Times New Roman" w:hint="eastAsia"/>
          <w:color w:val="FF0000"/>
          <w:sz w:val="28"/>
          <w:szCs w:val="28"/>
        </w:rPr>
        <w:t>中标人</w:t>
      </w:r>
      <w:r w:rsidR="000C2241" w:rsidRPr="005127C0">
        <w:rPr>
          <w:rFonts w:ascii="宋体" w:hAnsi="宋体" w:cs="Times New Roman" w:hint="eastAsia"/>
          <w:color w:val="FF0000"/>
          <w:sz w:val="28"/>
          <w:szCs w:val="28"/>
        </w:rPr>
        <w:t>必须遵循</w:t>
      </w:r>
      <w:r w:rsidRPr="005127C0">
        <w:rPr>
          <w:rFonts w:ascii="宋体" w:hAnsi="宋体" w:cs="Times New Roman" w:hint="eastAsia"/>
          <w:color w:val="FF0000"/>
          <w:sz w:val="28"/>
          <w:szCs w:val="28"/>
        </w:rPr>
        <w:t>采购方的各项规章制度</w:t>
      </w:r>
      <w:r w:rsidR="000C433B" w:rsidRPr="005127C0">
        <w:rPr>
          <w:rFonts w:ascii="宋体" w:hAnsi="宋体" w:cs="Times New Roman" w:hint="eastAsia"/>
          <w:color w:val="FF0000"/>
          <w:sz w:val="28"/>
          <w:szCs w:val="28"/>
        </w:rPr>
        <w:t>，服从现场部门工作人员的管理</w:t>
      </w:r>
      <w:r w:rsidR="000C2241" w:rsidRPr="005127C0">
        <w:rPr>
          <w:rFonts w:ascii="宋体" w:hAnsi="宋体" w:cs="Times New Roman" w:hint="eastAsia"/>
          <w:color w:val="FF0000"/>
          <w:sz w:val="28"/>
          <w:szCs w:val="28"/>
        </w:rPr>
        <w:t>,不能影响医院正常的工作秩序</w:t>
      </w:r>
      <w:r w:rsidRPr="005127C0">
        <w:rPr>
          <w:rFonts w:ascii="宋体" w:hAnsi="宋体" w:cs="Times New Roman" w:hint="eastAsia"/>
          <w:color w:val="FF0000"/>
          <w:sz w:val="28"/>
          <w:szCs w:val="28"/>
        </w:rPr>
        <w:t>。</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2.</w:t>
      </w:r>
      <w:r w:rsidR="000C433B" w:rsidRPr="005127C0">
        <w:rPr>
          <w:rFonts w:ascii="宋体" w:hAnsi="宋体" w:cs="Times New Roman" w:hint="eastAsia"/>
          <w:color w:val="FF0000"/>
          <w:sz w:val="28"/>
          <w:szCs w:val="28"/>
        </w:rPr>
        <w:t>中标人必须有工作实施方案及</w:t>
      </w:r>
      <w:r w:rsidR="00B31830" w:rsidRPr="005127C0">
        <w:rPr>
          <w:rFonts w:ascii="宋体" w:hAnsi="宋体" w:cs="Times New Roman" w:hint="eastAsia"/>
          <w:color w:val="FF0000"/>
          <w:sz w:val="28"/>
          <w:szCs w:val="28"/>
        </w:rPr>
        <w:t>具体的现场</w:t>
      </w:r>
      <w:r w:rsidR="000C433B" w:rsidRPr="005127C0">
        <w:rPr>
          <w:rFonts w:ascii="宋体" w:hAnsi="宋体" w:cs="Times New Roman" w:hint="eastAsia"/>
          <w:color w:val="FF0000"/>
          <w:sz w:val="28"/>
          <w:szCs w:val="28"/>
        </w:rPr>
        <w:t>安全措施。</w:t>
      </w: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0C433B">
        <w:rPr>
          <w:rFonts w:asciiTheme="minorEastAsia" w:eastAsiaTheme="minorEastAsia" w:hAnsiTheme="minorEastAsia" w:hint="eastAsia"/>
          <w:sz w:val="24"/>
        </w:rPr>
        <w:t>一次</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0C433B"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A60EC5" w:rsidRPr="00667499" w:rsidRDefault="00A57952" w:rsidP="00A60EC5">
      <w:pPr>
        <w:snapToGrid w:val="0"/>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清洗保养工作完成经采购方验收合格后，中标方提供有效发票，采购方支付合同金额的95%，余下5%作为质保金一年后支付。</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A57952" w:rsidRDefault="00A60EC5" w:rsidP="00A60EC5">
      <w:pPr>
        <w:pStyle w:val="3"/>
        <w:spacing w:before="0" w:after="0" w:line="400" w:lineRule="exact"/>
        <w:rPr>
          <w:rFonts w:asciiTheme="minorEastAsia" w:eastAsiaTheme="minorEastAsia" w:hAnsiTheme="minorEastAsia"/>
          <w:sz w:val="24"/>
          <w:szCs w:val="24"/>
        </w:rPr>
      </w:pPr>
      <w:bookmarkStart w:id="23" w:name="_Toc466546918"/>
      <w:r w:rsidRPr="00A57952">
        <w:rPr>
          <w:rFonts w:asciiTheme="minorEastAsia" w:eastAsiaTheme="minorEastAsia" w:hAnsiTheme="minorEastAsia" w:hint="eastAsia"/>
          <w:sz w:val="24"/>
          <w:szCs w:val="24"/>
        </w:rPr>
        <w:t>六、其他</w:t>
      </w:r>
      <w:bookmarkEnd w:id="23"/>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A57952" w:rsidRPr="00667499">
        <w:rPr>
          <w:rFonts w:asciiTheme="minorEastAsia" w:eastAsiaTheme="minorEastAsia" w:hAnsiTheme="minorEastAsia" w:hint="eastAsia"/>
          <w:sz w:val="24"/>
        </w:rPr>
        <w:t>竞标人</w:t>
      </w:r>
      <w:r w:rsidR="00A57952">
        <w:rPr>
          <w:rFonts w:asciiTheme="minorEastAsia" w:eastAsiaTheme="minorEastAsia" w:hAnsiTheme="minorEastAsia" w:hint="eastAsia"/>
          <w:sz w:val="24"/>
        </w:rPr>
        <w:t>必须</w:t>
      </w:r>
      <w:r w:rsidRPr="00667499">
        <w:rPr>
          <w:rFonts w:asciiTheme="minorEastAsia" w:eastAsiaTheme="minorEastAsia" w:hAnsiTheme="minorEastAsia" w:hint="eastAsia"/>
          <w:sz w:val="24"/>
        </w:rPr>
        <w:t>现场</w:t>
      </w:r>
      <w:r w:rsidR="00A57952">
        <w:rPr>
          <w:rFonts w:asciiTheme="minorEastAsia" w:eastAsiaTheme="minorEastAsia" w:hAnsiTheme="minorEastAsia" w:hint="eastAsia"/>
          <w:sz w:val="24"/>
        </w:rPr>
        <w:t>进行</w:t>
      </w:r>
      <w:r w:rsidR="00A57952" w:rsidRPr="00667499">
        <w:rPr>
          <w:rFonts w:asciiTheme="minorEastAsia" w:eastAsiaTheme="minorEastAsia" w:hAnsiTheme="minorEastAsia" w:hint="eastAsia"/>
          <w:sz w:val="24"/>
        </w:rPr>
        <w:t>踏堪</w:t>
      </w:r>
      <w:r w:rsidR="00A57952">
        <w:rPr>
          <w:rFonts w:asciiTheme="minorEastAsia" w:eastAsiaTheme="minorEastAsia" w:hAnsiTheme="minorEastAsia" w:hint="eastAsia"/>
          <w:sz w:val="24"/>
        </w:rPr>
        <w:t>工作，充分了解医院PVC地板的现状及具体位置，</w:t>
      </w:r>
      <w:r w:rsidRPr="00667499">
        <w:rPr>
          <w:rFonts w:asciiTheme="minorEastAsia" w:eastAsiaTheme="minorEastAsia" w:hAnsiTheme="minorEastAsia" w:hint="eastAsia"/>
          <w:sz w:val="24"/>
        </w:rPr>
        <w:t>根据现场实际情况</w:t>
      </w:r>
      <w:r w:rsidR="00A57952">
        <w:rPr>
          <w:rFonts w:asciiTheme="minorEastAsia" w:eastAsiaTheme="minorEastAsia" w:hAnsiTheme="minorEastAsia" w:hint="eastAsia"/>
          <w:sz w:val="24"/>
        </w:rPr>
        <w:t>充分</w:t>
      </w:r>
      <w:r w:rsidRPr="00667499">
        <w:rPr>
          <w:rFonts w:asciiTheme="minorEastAsia" w:eastAsiaTheme="minorEastAsia" w:hAnsiTheme="minorEastAsia" w:hint="eastAsia"/>
          <w:sz w:val="24"/>
        </w:rPr>
        <w:t>考虑报价</w:t>
      </w:r>
      <w:r w:rsidR="00A57952">
        <w:rPr>
          <w:rFonts w:asciiTheme="minorEastAsia" w:eastAsiaTheme="minorEastAsia" w:hAnsiTheme="minorEastAsia" w:hint="eastAsia"/>
          <w:sz w:val="24"/>
        </w:rPr>
        <w:t>，</w:t>
      </w:r>
      <w:r w:rsidRPr="00667499">
        <w:rPr>
          <w:rFonts w:asciiTheme="minorEastAsia" w:eastAsiaTheme="minorEastAsia" w:hAnsiTheme="minorEastAsia" w:hint="eastAsia"/>
          <w:sz w:val="24"/>
        </w:rPr>
        <w:t>不踏堪现场者不能参与投标（踏勘与业主联系，必须提供介绍信及身份证）。服务期间如不服从业主管理，业主可根据实际情况按违约处理，并处相应罚款，从结算工程款中扣除。</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、加强服务期间安全管理，发生的安全事故由</w:t>
      </w:r>
      <w:r w:rsidR="000C433B">
        <w:rPr>
          <w:rFonts w:asciiTheme="minorEastAsia" w:eastAsiaTheme="minorEastAsia" w:hAnsiTheme="minorEastAsia" w:hint="eastAsia"/>
          <w:sz w:val="24"/>
        </w:rPr>
        <w:t>中标人</w:t>
      </w:r>
      <w:r w:rsidR="00A60EC5" w:rsidRPr="00667499">
        <w:rPr>
          <w:rFonts w:asciiTheme="minorEastAsia" w:eastAsiaTheme="minorEastAsia" w:hAnsiTheme="minorEastAsia" w:hint="eastAsia"/>
          <w:sz w:val="24"/>
        </w:rPr>
        <w:t>自行负责。</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sidR="000C2241">
        <w:rPr>
          <w:rFonts w:asciiTheme="minorEastAsia" w:eastAsiaTheme="minorEastAsia" w:hAnsiTheme="minorEastAsia" w:hint="eastAsia"/>
          <w:sz w:val="24"/>
        </w:rPr>
        <w:t>、中标</w:t>
      </w:r>
      <w:r w:rsidR="00A60EC5" w:rsidRPr="00667499">
        <w:rPr>
          <w:rFonts w:asciiTheme="minorEastAsia" w:eastAsiaTheme="minorEastAsia" w:hAnsiTheme="minorEastAsia" w:hint="eastAsia"/>
          <w:sz w:val="24"/>
        </w:rPr>
        <w:t>单位应做好安全文明施工</w:t>
      </w:r>
      <w:r>
        <w:rPr>
          <w:rFonts w:asciiTheme="minorEastAsia" w:eastAsiaTheme="minorEastAsia" w:hAnsiTheme="minorEastAsia" w:hint="eastAsia"/>
          <w:sz w:val="24"/>
        </w:rPr>
        <w:t>。</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E96980" w:rsidRDefault="00E96980"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75"/>
        <w:gridCol w:w="13"/>
        <w:gridCol w:w="765"/>
        <w:gridCol w:w="4453"/>
        <w:gridCol w:w="1016"/>
      </w:tblGrid>
      <w:tr w:rsidR="00E96980" w:rsidTr="00CE7153">
        <w:trPr>
          <w:cantSplit/>
          <w:trHeight w:val="402"/>
        </w:trPr>
        <w:tc>
          <w:tcPr>
            <w:tcW w:w="765" w:type="dxa"/>
            <w:vAlign w:val="center"/>
          </w:tcPr>
          <w:p w:rsidR="00E96980" w:rsidRPr="00746BAF" w:rsidRDefault="00E96980" w:rsidP="00CE7153">
            <w:pPr>
              <w:spacing w:line="360" w:lineRule="auto"/>
              <w:rPr>
                <w:rFonts w:eastAsia="仿宋"/>
                <w:szCs w:val="21"/>
              </w:rPr>
            </w:pPr>
            <w:r w:rsidRPr="00746BAF">
              <w:rPr>
                <w:rFonts w:hint="eastAsia"/>
                <w:szCs w:val="21"/>
              </w:rPr>
              <w:lastRenderedPageBreak/>
              <w:t>项目</w:t>
            </w:r>
          </w:p>
        </w:tc>
        <w:tc>
          <w:tcPr>
            <w:tcW w:w="1288" w:type="dxa"/>
            <w:gridSpan w:val="2"/>
            <w:vAlign w:val="center"/>
          </w:tcPr>
          <w:p w:rsidR="00E96980" w:rsidRPr="00746BAF" w:rsidRDefault="00E96980" w:rsidP="00CE7153">
            <w:pPr>
              <w:spacing w:line="360" w:lineRule="auto"/>
              <w:rPr>
                <w:szCs w:val="21"/>
              </w:rPr>
            </w:pPr>
            <w:r w:rsidRPr="00746BAF">
              <w:rPr>
                <w:rFonts w:hint="eastAsia"/>
                <w:szCs w:val="21"/>
              </w:rPr>
              <w:t>分值</w:t>
            </w:r>
          </w:p>
        </w:tc>
        <w:tc>
          <w:tcPr>
            <w:tcW w:w="5218" w:type="dxa"/>
            <w:gridSpan w:val="2"/>
            <w:vAlign w:val="center"/>
          </w:tcPr>
          <w:p w:rsidR="00E96980" w:rsidRPr="00746BAF" w:rsidRDefault="00E96980" w:rsidP="00CE7153">
            <w:pPr>
              <w:spacing w:line="360" w:lineRule="auto"/>
              <w:rPr>
                <w:szCs w:val="21"/>
              </w:rPr>
            </w:pPr>
            <w:r w:rsidRPr="00746BAF">
              <w:rPr>
                <w:rFonts w:hint="eastAsia"/>
                <w:szCs w:val="21"/>
              </w:rPr>
              <w:t>评分标准</w:t>
            </w:r>
          </w:p>
        </w:tc>
        <w:tc>
          <w:tcPr>
            <w:tcW w:w="1016" w:type="dxa"/>
            <w:vAlign w:val="center"/>
          </w:tcPr>
          <w:p w:rsidR="00E96980" w:rsidRDefault="00E96980" w:rsidP="00CE7153">
            <w:pPr>
              <w:spacing w:line="360" w:lineRule="auto"/>
            </w:pPr>
            <w:r>
              <w:rPr>
                <w:rFonts w:hint="eastAsia"/>
              </w:rPr>
              <w:t>说明</w:t>
            </w:r>
          </w:p>
        </w:tc>
      </w:tr>
      <w:tr w:rsidR="00E96980" w:rsidTr="00CE7153">
        <w:trPr>
          <w:cantSplit/>
          <w:trHeight w:val="402"/>
        </w:trPr>
        <w:tc>
          <w:tcPr>
            <w:tcW w:w="765" w:type="dxa"/>
            <w:vAlign w:val="center"/>
          </w:tcPr>
          <w:p w:rsidR="00E96980" w:rsidRPr="00746BAF" w:rsidRDefault="00E96980" w:rsidP="00CE7153">
            <w:pPr>
              <w:spacing w:line="360" w:lineRule="auto"/>
              <w:rPr>
                <w:szCs w:val="21"/>
              </w:rPr>
            </w:pPr>
            <w:r w:rsidRPr="00746BAF">
              <w:rPr>
                <w:rFonts w:hint="eastAsia"/>
                <w:szCs w:val="21"/>
              </w:rPr>
              <w:t>经济文件部分</w:t>
            </w:r>
          </w:p>
        </w:tc>
        <w:tc>
          <w:tcPr>
            <w:tcW w:w="1275" w:type="dxa"/>
            <w:vAlign w:val="center"/>
          </w:tcPr>
          <w:p w:rsidR="00E96980" w:rsidRPr="00746BAF" w:rsidRDefault="00E96980" w:rsidP="00CE7153">
            <w:pPr>
              <w:spacing w:line="360" w:lineRule="auto"/>
              <w:rPr>
                <w:szCs w:val="21"/>
              </w:rPr>
            </w:pPr>
            <w:r w:rsidRPr="00746BAF">
              <w:rPr>
                <w:rFonts w:hint="eastAsia"/>
                <w:szCs w:val="21"/>
              </w:rPr>
              <w:t>响应报价</w:t>
            </w:r>
          </w:p>
          <w:p w:rsidR="00E96980" w:rsidRPr="00746BAF" w:rsidRDefault="00E96980" w:rsidP="00CE7153">
            <w:pPr>
              <w:spacing w:line="360" w:lineRule="auto"/>
              <w:rPr>
                <w:szCs w:val="21"/>
              </w:rPr>
            </w:pPr>
            <w:r w:rsidRPr="00746BAF">
              <w:rPr>
                <w:rFonts w:hint="eastAsia"/>
                <w:szCs w:val="21"/>
              </w:rPr>
              <w:t>（</w:t>
            </w:r>
            <w:r>
              <w:rPr>
                <w:rFonts w:hint="eastAsia"/>
                <w:szCs w:val="21"/>
              </w:rPr>
              <w:t>5</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szCs w:val="21"/>
              </w:rPr>
            </w:pPr>
            <w:r>
              <w:rPr>
                <w:rFonts w:hint="eastAsia"/>
                <w:szCs w:val="21"/>
              </w:rPr>
              <w:t>50</w:t>
            </w:r>
          </w:p>
        </w:tc>
        <w:tc>
          <w:tcPr>
            <w:tcW w:w="4453" w:type="dxa"/>
            <w:vAlign w:val="center"/>
          </w:tcPr>
          <w:p w:rsidR="00E96980" w:rsidRPr="00746BAF" w:rsidRDefault="00E96980" w:rsidP="00CE7153">
            <w:pPr>
              <w:spacing w:line="360" w:lineRule="auto"/>
              <w:rPr>
                <w:szCs w:val="21"/>
              </w:rPr>
            </w:pPr>
            <w:r w:rsidRPr="00746BAF">
              <w:rPr>
                <w:rFonts w:hint="eastAsia"/>
                <w:szCs w:val="21"/>
              </w:rPr>
              <w:t>有效的响应报价中的最低价为评标基准价，按照下列公式计算每个响应供应商的响应价格得分。</w:t>
            </w:r>
          </w:p>
          <w:p w:rsidR="00E96980" w:rsidRPr="00746BAF" w:rsidRDefault="00E96980" w:rsidP="00CE7153">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Pr>
                <w:rFonts w:hint="eastAsia"/>
                <w:szCs w:val="21"/>
              </w:rPr>
              <w:t>5</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634"/>
        </w:trPr>
        <w:tc>
          <w:tcPr>
            <w:tcW w:w="765" w:type="dxa"/>
            <w:vAlign w:val="center"/>
          </w:tcPr>
          <w:p w:rsidR="00E96980" w:rsidRPr="00746BAF" w:rsidRDefault="00E96980" w:rsidP="00CE7153">
            <w:pPr>
              <w:spacing w:line="360" w:lineRule="auto"/>
              <w:rPr>
                <w:szCs w:val="21"/>
              </w:rPr>
            </w:pPr>
          </w:p>
          <w:p w:rsidR="00E96980" w:rsidRPr="00746BAF" w:rsidRDefault="00E96980" w:rsidP="00CE7153">
            <w:pPr>
              <w:spacing w:line="360" w:lineRule="auto"/>
              <w:rPr>
                <w:szCs w:val="21"/>
              </w:rPr>
            </w:pPr>
            <w:r w:rsidRPr="00746BAF">
              <w:rPr>
                <w:rFonts w:hint="eastAsia"/>
                <w:szCs w:val="21"/>
              </w:rPr>
              <w:t>技术</w:t>
            </w:r>
          </w:p>
          <w:p w:rsidR="00E96980" w:rsidRPr="00746BAF" w:rsidRDefault="00E96980" w:rsidP="00CE7153">
            <w:pPr>
              <w:spacing w:line="360" w:lineRule="auto"/>
              <w:rPr>
                <w:szCs w:val="21"/>
              </w:rPr>
            </w:pPr>
            <w:r w:rsidRPr="00746BAF">
              <w:rPr>
                <w:rFonts w:hint="eastAsia"/>
                <w:szCs w:val="21"/>
              </w:rPr>
              <w:t>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E96980" w:rsidRPr="00746BAF" w:rsidRDefault="00E96980" w:rsidP="00E96980">
            <w:pPr>
              <w:spacing w:line="360" w:lineRule="auto"/>
              <w:rPr>
                <w:szCs w:val="21"/>
              </w:rPr>
            </w:pPr>
            <w:r w:rsidRPr="00746BAF">
              <w:rPr>
                <w:rFonts w:hint="eastAsia"/>
                <w:szCs w:val="21"/>
              </w:rPr>
              <w:t>（</w:t>
            </w:r>
            <w:r>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rFonts w:eastAsia="仿宋"/>
                <w:szCs w:val="21"/>
              </w:rPr>
            </w:pPr>
            <w:r>
              <w:rPr>
                <w:rFonts w:eastAsia="仿宋" w:hint="eastAsia"/>
                <w:szCs w:val="21"/>
              </w:rPr>
              <w:t>40</w:t>
            </w:r>
          </w:p>
        </w:tc>
        <w:tc>
          <w:tcPr>
            <w:tcW w:w="4453" w:type="dxa"/>
            <w:vAlign w:val="center"/>
          </w:tcPr>
          <w:p w:rsidR="00E96980" w:rsidRPr="00746BAF" w:rsidRDefault="00E96980" w:rsidP="00E96980">
            <w:pPr>
              <w:spacing w:line="360" w:lineRule="auto"/>
              <w:rPr>
                <w:szCs w:val="21"/>
              </w:rPr>
            </w:pPr>
            <w:r>
              <w:rPr>
                <w:rFonts w:hint="eastAsia"/>
                <w:szCs w:val="21"/>
              </w:rPr>
              <w:t>项目实施方案及安全措施的合理性</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179"/>
        </w:trPr>
        <w:tc>
          <w:tcPr>
            <w:tcW w:w="765" w:type="dxa"/>
            <w:vAlign w:val="center"/>
          </w:tcPr>
          <w:p w:rsidR="00E96980" w:rsidRPr="00746BAF" w:rsidRDefault="00E96980" w:rsidP="00CE7153">
            <w:pPr>
              <w:spacing w:line="360" w:lineRule="auto"/>
              <w:rPr>
                <w:szCs w:val="21"/>
              </w:rPr>
            </w:pPr>
            <w:r w:rsidRPr="00746BAF">
              <w:rPr>
                <w:rFonts w:hint="eastAsia"/>
                <w:szCs w:val="21"/>
              </w:rPr>
              <w:t>商务部分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业绩</w:t>
            </w:r>
          </w:p>
          <w:p w:rsidR="00E96980" w:rsidRPr="00746BAF" w:rsidRDefault="00E96980" w:rsidP="00E96980">
            <w:pPr>
              <w:spacing w:line="360" w:lineRule="auto"/>
              <w:rPr>
                <w:szCs w:val="21"/>
              </w:rPr>
            </w:pPr>
            <w:r w:rsidRPr="00746BAF">
              <w:rPr>
                <w:rFonts w:hint="eastAsia"/>
                <w:szCs w:val="21"/>
              </w:rPr>
              <w:t>（</w:t>
            </w:r>
            <w:r>
              <w:rPr>
                <w:rFonts w:hint="eastAsia"/>
                <w:szCs w:val="21"/>
              </w:rPr>
              <w:t>1</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rFonts w:eastAsia="仿宋"/>
                <w:szCs w:val="21"/>
              </w:rPr>
            </w:pPr>
            <w:r>
              <w:rPr>
                <w:rFonts w:eastAsia="仿宋" w:hint="eastAsia"/>
                <w:szCs w:val="21"/>
              </w:rPr>
              <w:t>1</w:t>
            </w:r>
            <w:r w:rsidRPr="00746BAF">
              <w:rPr>
                <w:rFonts w:eastAsia="仿宋" w:hint="eastAsia"/>
                <w:szCs w:val="21"/>
              </w:rPr>
              <w:t>0</w:t>
            </w:r>
          </w:p>
        </w:tc>
        <w:tc>
          <w:tcPr>
            <w:tcW w:w="4453" w:type="dxa"/>
            <w:vAlign w:val="center"/>
          </w:tcPr>
          <w:p w:rsidR="00E96980" w:rsidRPr="00746BAF" w:rsidRDefault="00E96980" w:rsidP="00CE7153">
            <w:pPr>
              <w:spacing w:line="360" w:lineRule="auto"/>
              <w:rPr>
                <w:szCs w:val="21"/>
              </w:rPr>
            </w:pPr>
            <w:r w:rsidRPr="00746BAF">
              <w:rPr>
                <w:rFonts w:hint="eastAsia"/>
                <w:szCs w:val="21"/>
              </w:rPr>
              <w:t>提供</w:t>
            </w:r>
            <w:r>
              <w:rPr>
                <w:rFonts w:hint="eastAsia"/>
                <w:szCs w:val="21"/>
              </w:rPr>
              <w:t>2017</w:t>
            </w:r>
            <w:r>
              <w:rPr>
                <w:rFonts w:hint="eastAsia"/>
                <w:szCs w:val="21"/>
              </w:rPr>
              <w:t>年医院合同</w:t>
            </w:r>
            <w:r w:rsidRPr="00746BAF">
              <w:rPr>
                <w:rFonts w:hint="eastAsia"/>
                <w:szCs w:val="21"/>
              </w:rPr>
              <w:t>业绩。</w:t>
            </w:r>
            <w:r w:rsidRPr="00746BAF">
              <w:rPr>
                <w:rFonts w:hint="eastAsia"/>
                <w:szCs w:val="21"/>
              </w:rPr>
              <w:t xml:space="preserve"> </w:t>
            </w:r>
          </w:p>
        </w:tc>
        <w:tc>
          <w:tcPr>
            <w:tcW w:w="1016" w:type="dxa"/>
            <w:vAlign w:val="center"/>
          </w:tcPr>
          <w:p w:rsidR="00E96980" w:rsidRDefault="00E96980" w:rsidP="00CE7153">
            <w:pPr>
              <w:spacing w:line="360" w:lineRule="auto"/>
            </w:pPr>
          </w:p>
        </w:tc>
      </w:tr>
    </w:tbl>
    <w:p w:rsidR="00D20178" w:rsidRP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1E0411">
      <w:pPr>
        <w:spacing w:line="360" w:lineRule="auto"/>
        <w:ind w:firstLineChars="200" w:firstLine="420"/>
        <w:rPr>
          <w:rFonts w:ascii="黑体" w:eastAsia="黑体" w:hAnsi="黑体"/>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2C" w:rsidRDefault="00E13A2C" w:rsidP="004538CF">
      <w:r>
        <w:separator/>
      </w:r>
    </w:p>
  </w:endnote>
  <w:endnote w:type="continuationSeparator" w:id="0">
    <w:p w:rsidR="00E13A2C" w:rsidRDefault="00E13A2C"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50EBE">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50EB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BB2A0D">
      <w:rPr>
        <w:rStyle w:val="aa"/>
        <w:rFonts w:ascii="宋体"/>
        <w:noProof/>
        <w:sz w:val="21"/>
        <w:szCs w:val="21"/>
      </w:rPr>
      <w:t>- 4 -</w:t>
    </w:r>
    <w:r>
      <w:rPr>
        <w:rFonts w:ascii="宋体"/>
        <w:sz w:val="21"/>
        <w:szCs w:val="21"/>
      </w:rPr>
      <w:fldChar w:fldCharType="end"/>
    </w:r>
  </w:p>
  <w:p w:rsidR="00CD2D46" w:rsidRDefault="00CD2D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50EBE">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50EBE">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BB2A0D">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50EBE">
    <w:pPr>
      <w:pStyle w:val="a7"/>
      <w:jc w:val="center"/>
    </w:pPr>
    <w:fldSimple w:instr=" PAGE   \* MERGEFORMAT ">
      <w:r w:rsidR="00BB2A0D" w:rsidRPr="00BB2A0D">
        <w:rPr>
          <w:noProof/>
          <w:lang w:val="zh-CN"/>
        </w:rPr>
        <w:t>19</w:t>
      </w:r>
    </w:fldSimple>
  </w:p>
  <w:p w:rsidR="00CD2D46" w:rsidRDefault="00CD2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2C" w:rsidRDefault="00E13A2C" w:rsidP="004538CF">
      <w:r>
        <w:separator/>
      </w:r>
    </w:p>
  </w:footnote>
  <w:footnote w:type="continuationSeparator" w:id="0">
    <w:p w:rsidR="00E13A2C" w:rsidRDefault="00E13A2C"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C2241"/>
    <w:rsid w:val="000C29FC"/>
    <w:rsid w:val="000C433B"/>
    <w:rsid w:val="000D0A58"/>
    <w:rsid w:val="000F05B0"/>
    <w:rsid w:val="00102D38"/>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3652"/>
    <w:rsid w:val="002B7A4D"/>
    <w:rsid w:val="002D158D"/>
    <w:rsid w:val="002D76CA"/>
    <w:rsid w:val="002E51A0"/>
    <w:rsid w:val="002F1E18"/>
    <w:rsid w:val="002F68FB"/>
    <w:rsid w:val="00310E75"/>
    <w:rsid w:val="00316634"/>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F04B9"/>
    <w:rsid w:val="004F20BF"/>
    <w:rsid w:val="0050279F"/>
    <w:rsid w:val="00504FE9"/>
    <w:rsid w:val="00510B63"/>
    <w:rsid w:val="00510FF4"/>
    <w:rsid w:val="005127C0"/>
    <w:rsid w:val="00512A7A"/>
    <w:rsid w:val="005171F4"/>
    <w:rsid w:val="0052275D"/>
    <w:rsid w:val="005242B0"/>
    <w:rsid w:val="00541A9B"/>
    <w:rsid w:val="00544D4F"/>
    <w:rsid w:val="00550658"/>
    <w:rsid w:val="00553013"/>
    <w:rsid w:val="00572CF6"/>
    <w:rsid w:val="005732FF"/>
    <w:rsid w:val="005948FC"/>
    <w:rsid w:val="00595F59"/>
    <w:rsid w:val="005B19FA"/>
    <w:rsid w:val="005B3BC7"/>
    <w:rsid w:val="005C36DB"/>
    <w:rsid w:val="005D3ED6"/>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15E9D"/>
    <w:rsid w:val="00723C26"/>
    <w:rsid w:val="00740D9E"/>
    <w:rsid w:val="007513EA"/>
    <w:rsid w:val="00751964"/>
    <w:rsid w:val="00757681"/>
    <w:rsid w:val="0076086D"/>
    <w:rsid w:val="00761F2D"/>
    <w:rsid w:val="007678A8"/>
    <w:rsid w:val="00767A64"/>
    <w:rsid w:val="00780AAB"/>
    <w:rsid w:val="007832F8"/>
    <w:rsid w:val="00784CE9"/>
    <w:rsid w:val="00793012"/>
    <w:rsid w:val="007A4927"/>
    <w:rsid w:val="007C06A0"/>
    <w:rsid w:val="007C5278"/>
    <w:rsid w:val="007D61D3"/>
    <w:rsid w:val="007E7F62"/>
    <w:rsid w:val="007F27B5"/>
    <w:rsid w:val="007F3E82"/>
    <w:rsid w:val="007F652D"/>
    <w:rsid w:val="00811F2B"/>
    <w:rsid w:val="0082362C"/>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57952"/>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1830"/>
    <w:rsid w:val="00B3592D"/>
    <w:rsid w:val="00B36633"/>
    <w:rsid w:val="00B42AC4"/>
    <w:rsid w:val="00B514B7"/>
    <w:rsid w:val="00B54278"/>
    <w:rsid w:val="00B609C8"/>
    <w:rsid w:val="00B624C8"/>
    <w:rsid w:val="00B6673E"/>
    <w:rsid w:val="00B729B5"/>
    <w:rsid w:val="00B775D4"/>
    <w:rsid w:val="00B81997"/>
    <w:rsid w:val="00BA585C"/>
    <w:rsid w:val="00BB22C9"/>
    <w:rsid w:val="00BB2A0D"/>
    <w:rsid w:val="00BC2E7C"/>
    <w:rsid w:val="00BD3F48"/>
    <w:rsid w:val="00BE292D"/>
    <w:rsid w:val="00BE507A"/>
    <w:rsid w:val="00BF0395"/>
    <w:rsid w:val="00BF6E96"/>
    <w:rsid w:val="00C035E3"/>
    <w:rsid w:val="00C054DC"/>
    <w:rsid w:val="00C138CE"/>
    <w:rsid w:val="00C16A6F"/>
    <w:rsid w:val="00C24ED4"/>
    <w:rsid w:val="00C2658F"/>
    <w:rsid w:val="00C476FA"/>
    <w:rsid w:val="00C50EBE"/>
    <w:rsid w:val="00C612B5"/>
    <w:rsid w:val="00C65EB4"/>
    <w:rsid w:val="00C744FF"/>
    <w:rsid w:val="00C81B8F"/>
    <w:rsid w:val="00C84DDD"/>
    <w:rsid w:val="00C93CF1"/>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78C"/>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6BDE"/>
    <w:rsid w:val="00DF5DD2"/>
    <w:rsid w:val="00DF63AF"/>
    <w:rsid w:val="00E06EE6"/>
    <w:rsid w:val="00E13A2C"/>
    <w:rsid w:val="00E259AB"/>
    <w:rsid w:val="00E45AFC"/>
    <w:rsid w:val="00E45F57"/>
    <w:rsid w:val="00E553B1"/>
    <w:rsid w:val="00E574BA"/>
    <w:rsid w:val="00E6737E"/>
    <w:rsid w:val="00E9059E"/>
    <w:rsid w:val="00E93462"/>
    <w:rsid w:val="00E96980"/>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0255"/>
    <w:rsid w:val="00F62AE3"/>
    <w:rsid w:val="00F656FF"/>
    <w:rsid w:val="00F7378F"/>
    <w:rsid w:val="00F8229F"/>
    <w:rsid w:val="00F856CA"/>
    <w:rsid w:val="00F97822"/>
    <w:rsid w:val="00FA621D"/>
    <w:rsid w:val="00FB2B35"/>
    <w:rsid w:val="00FC19CB"/>
    <w:rsid w:val="00FE4686"/>
    <w:rsid w:val="00FE47C7"/>
    <w:rsid w:val="00FE7A10"/>
    <w:rsid w:val="00FF4F29"/>
    <w:rsid w:val="00FF7C43"/>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C433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74418306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A6C34-BFF6-4F58-B62C-D61014DA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1496</Words>
  <Characters>8531</Characters>
  <Application>Microsoft Office Word</Application>
  <DocSecurity>0</DocSecurity>
  <Lines>71</Lines>
  <Paragraphs>20</Paragraphs>
  <ScaleCrop>false</ScaleCrop>
  <Company>微软中国</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2018-04-17T03:29:00Z</dcterms:created>
  <dcterms:modified xsi:type="dcterms:W3CDTF">2018-04-17T03:29:00Z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